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1BC5C" w14:textId="77777777" w:rsidR="009A59C7" w:rsidRPr="00CC7926" w:rsidRDefault="009A59C7" w:rsidP="009A59C7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CC7926">
        <w:rPr>
          <w:b/>
          <w:bCs/>
          <w:color w:val="000000" w:themeColor="text1"/>
          <w:sz w:val="28"/>
          <w:szCs w:val="28"/>
        </w:rPr>
        <w:t>Status update</w:t>
      </w:r>
      <w:r>
        <w:rPr>
          <w:b/>
          <w:bCs/>
          <w:color w:val="000000" w:themeColor="text1"/>
          <w:sz w:val="28"/>
          <w:szCs w:val="28"/>
        </w:rPr>
        <w:t xml:space="preserve"> from the NSSO</w:t>
      </w:r>
      <w:r w:rsidRPr="00CC7926">
        <w:rPr>
          <w:b/>
          <w:bCs/>
          <w:color w:val="000000" w:themeColor="text1"/>
          <w:sz w:val="28"/>
          <w:szCs w:val="28"/>
        </w:rPr>
        <w:t xml:space="preserve">, up to Pay period </w:t>
      </w:r>
      <w:r>
        <w:rPr>
          <w:b/>
          <w:bCs/>
          <w:color w:val="000000" w:themeColor="text1"/>
          <w:sz w:val="28"/>
          <w:szCs w:val="28"/>
        </w:rPr>
        <w:t>52</w:t>
      </w:r>
      <w:r w:rsidRPr="00CC7926">
        <w:rPr>
          <w:b/>
          <w:bCs/>
          <w:color w:val="000000" w:themeColor="text1"/>
          <w:sz w:val="28"/>
          <w:szCs w:val="28"/>
        </w:rPr>
        <w:t xml:space="preserve"> of 2020</w:t>
      </w:r>
    </w:p>
    <w:p w14:paraId="5DE403F1" w14:textId="77777777" w:rsidR="009A59C7" w:rsidRPr="009A59C7" w:rsidRDefault="009A59C7">
      <w:pPr>
        <w:rPr>
          <w:i/>
          <w:iCs/>
          <w:sz w:val="24"/>
          <w:szCs w:val="24"/>
        </w:rPr>
      </w:pPr>
      <w:r w:rsidRPr="009A59C7">
        <w:rPr>
          <w:i/>
          <w:iCs/>
          <w:sz w:val="24"/>
          <w:szCs w:val="24"/>
        </w:rPr>
        <w:t>Reproduced by kind permission of the NSSO</w:t>
      </w:r>
    </w:p>
    <w:p w14:paraId="0F780B65" w14:textId="77777777" w:rsidR="009A59C7" w:rsidRDefault="009A59C7" w:rsidP="009A59C7">
      <w:pPr>
        <w:spacing w:after="0" w:line="240" w:lineRule="auto"/>
      </w:pPr>
      <w:r>
        <w:rPr>
          <w:noProof/>
        </w:rPr>
        <w:drawing>
          <wp:inline distT="0" distB="0" distL="0" distR="0" wp14:anchorId="6480A394" wp14:editId="36104367">
            <wp:extent cx="8596800" cy="3988800"/>
            <wp:effectExtent l="0" t="0" r="0" b="0"/>
            <wp:docPr id="1" name="Picture 1" descr="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a - NSSO table as of 31.12.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6800" cy="39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9E92D" w14:textId="77777777" w:rsidR="009A59C7" w:rsidRDefault="009A59C7" w:rsidP="009A59C7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en-IE"/>
        </w:rPr>
      </w:pPr>
      <w:r w:rsidRPr="00F22B00">
        <w:rPr>
          <w:rFonts w:ascii="Calibri" w:eastAsia="Times New Roman" w:hAnsi="Calibri" w:cs="Calibri"/>
          <w:i/>
          <w:iCs/>
          <w:color w:val="222222"/>
          <w:sz w:val="24"/>
          <w:szCs w:val="24"/>
          <w:u w:val="single"/>
          <w:lang w:eastAsia="en-IE"/>
        </w:rPr>
        <w:t>NOTES</w:t>
      </w:r>
      <w:r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en-IE"/>
        </w:rPr>
        <w:t>:</w:t>
      </w:r>
    </w:p>
    <w:p w14:paraId="135321C4" w14:textId="77777777" w:rsidR="009A59C7" w:rsidRPr="009A59C7" w:rsidRDefault="00F22B00" w:rsidP="002B780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en-IE"/>
        </w:rPr>
      </w:pPr>
      <w:r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en-IE"/>
        </w:rPr>
        <w:t>1</w:t>
      </w:r>
      <w:r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en-IE"/>
        </w:rPr>
        <w:tab/>
      </w:r>
      <w:r w:rsidR="009A59C7" w:rsidRPr="009A59C7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en-IE"/>
        </w:rPr>
        <w:t xml:space="preserve">There are still some issues outstanding regarding increases to </w:t>
      </w:r>
      <w:r w:rsidR="009A59C7" w:rsidRPr="009A59C7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en-IE"/>
        </w:rPr>
        <w:t xml:space="preserve">Prison Officer </w:t>
      </w:r>
      <w:r w:rsidR="009A59C7" w:rsidRPr="009A59C7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en-IE"/>
        </w:rPr>
        <w:t>pensions.  These are being followed up with DPER by the NSSO.</w:t>
      </w:r>
    </w:p>
    <w:p w14:paraId="77431B71" w14:textId="77777777" w:rsidR="009A59C7" w:rsidRPr="009A59C7" w:rsidRDefault="00F22B00" w:rsidP="002B780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en-IE"/>
        </w:rPr>
      </w:pPr>
      <w:r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en-IE"/>
        </w:rPr>
        <w:t>2</w:t>
      </w:r>
      <w:r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en-IE"/>
        </w:rPr>
        <w:tab/>
      </w:r>
      <w:bookmarkStart w:id="0" w:name="_GoBack"/>
      <w:bookmarkEnd w:id="0"/>
      <w:r w:rsidR="009A59C7" w:rsidRPr="009A59C7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en-IE"/>
        </w:rPr>
        <w:t xml:space="preserve">As yet we do not have a full list of </w:t>
      </w:r>
      <w:r w:rsidR="009A59C7" w:rsidRPr="009A59C7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en-IE"/>
        </w:rPr>
        <w:t>Fixed and Variable Allowances</w:t>
      </w:r>
      <w:r w:rsidR="009A59C7" w:rsidRPr="009A59C7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en-IE"/>
        </w:rPr>
        <w:t>.  Again, this is being followed up with DPER by the NSSO.  In general, variable allowances have been identified as allowances which are calculated as a percentage of pay.  Some fixed allowances have been identified and an increase paid where appropriate.</w:t>
      </w:r>
    </w:p>
    <w:sectPr w:rsidR="009A59C7" w:rsidRPr="009A59C7" w:rsidSect="009A59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C7"/>
    <w:rsid w:val="00046FEB"/>
    <w:rsid w:val="002B780C"/>
    <w:rsid w:val="009A59C7"/>
    <w:rsid w:val="00A356F5"/>
    <w:rsid w:val="00F2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65387"/>
  <w15:chartTrackingRefBased/>
  <w15:docId w15:val="{209C01BB-D282-47B6-B8A8-F7FFFF33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449579764533137751msolistparagraph">
    <w:name w:val="m_449579764533137751msolistparagraph"/>
    <w:basedOn w:val="Normal"/>
    <w:rsid w:val="009A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westb90 2</dc:creator>
  <cp:keywords/>
  <dc:description/>
  <cp:lastModifiedBy>westb90 2</cp:lastModifiedBy>
  <cp:revision>2</cp:revision>
  <dcterms:created xsi:type="dcterms:W3CDTF">2021-01-04T20:51:00Z</dcterms:created>
  <dcterms:modified xsi:type="dcterms:W3CDTF">2021-01-04T21:07:00Z</dcterms:modified>
</cp:coreProperties>
</file>